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86E9" w14:textId="454EFC9D" w:rsidR="00DA6116" w:rsidRDefault="00D23CDB" w:rsidP="00DA611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C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B20B" wp14:editId="741ADAF6">
            <wp:extent cx="6645910" cy="75438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DE696" w14:textId="1BC3A9EA" w:rsidR="00D23CDB" w:rsidRDefault="00D23CDB" w:rsidP="00DA611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A29F0" w14:textId="6A07A1F2" w:rsidR="00D23CDB" w:rsidRDefault="00D23CDB" w:rsidP="00DA611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C9EE0" w14:textId="47C7C8AC" w:rsidR="00D23CDB" w:rsidRDefault="00D23CDB" w:rsidP="00DA611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A4B65" w14:textId="46DB4486" w:rsidR="00D23CDB" w:rsidRDefault="00D23CDB" w:rsidP="00DA611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0928F" w14:textId="1663558A" w:rsidR="00D23CDB" w:rsidRDefault="00D23CDB" w:rsidP="00DA611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53D96" w14:textId="77777777" w:rsidR="00D23CDB" w:rsidRDefault="00D23CDB" w:rsidP="00DA611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421FBD0" w14:textId="77777777" w:rsidR="00D23CDB" w:rsidRDefault="00D23CDB" w:rsidP="00203632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 w:eastAsia="ru-RU"/>
        </w:rPr>
      </w:pPr>
    </w:p>
    <w:p w14:paraId="173AC5A0" w14:textId="77777777" w:rsidR="00D23CDB" w:rsidRDefault="00D23CDB" w:rsidP="00203632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 w:eastAsia="ru-RU"/>
        </w:rPr>
      </w:pPr>
    </w:p>
    <w:p w14:paraId="576FF384" w14:textId="26C60F04" w:rsidR="00203632" w:rsidRPr="00AE22EA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4"/>
          <w:szCs w:val="24"/>
          <w:lang w:val="uk-UA" w:eastAsia="ru-RU"/>
        </w:rPr>
      </w:pPr>
      <w:r w:rsidRPr="00AE22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 w:eastAsia="ru-RU"/>
        </w:rPr>
        <w:lastRenderedPageBreak/>
        <w:t>1.ЗАГАЛЬНІ ПОЛОЖЕННЯ</w:t>
      </w:r>
    </w:p>
    <w:p w14:paraId="7CDDE33E" w14:textId="77777777" w:rsidR="00203632" w:rsidRPr="00AE22EA" w:rsidRDefault="00203632" w:rsidP="0020363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E22EA">
        <w:rPr>
          <w:shd w:val="clear" w:color="auto" w:fill="FFFFFF"/>
          <w:lang w:val="uk-UA" w:eastAsia="ru-RU"/>
        </w:rPr>
        <w:t xml:space="preserve">1.1. </w:t>
      </w:r>
      <w:r w:rsidRPr="00AE22EA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Положення про академічну доброчесність учасників освітнього процесу (далі - Положення)</w:t>
      </w:r>
      <w:r w:rsidRPr="00AB03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комунального закладу «Новофастівський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ліцей </w:t>
      </w:r>
      <w:r w:rsidRPr="00AB03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Погребищенської міської </w:t>
      </w:r>
      <w:r w:rsidRPr="00AE22EA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ради</w:t>
      </w:r>
      <w:r w:rsidRPr="00AB03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03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Вінницького району Вінницької</w:t>
      </w:r>
      <w:r w:rsidRPr="00AE22EA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області</w:t>
      </w:r>
      <w:r w:rsidRPr="00AB03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 xml:space="preserve"> (далі - заклад) встановлює норми та правила етичної поведінки, професійного спілкування у відносинах між учасниками освітнього процесу закладу, а саме: педагогічними працівниками, здобувачами освіти та їх батьками чи особами, які їх заміняють.</w:t>
      </w:r>
    </w:p>
    <w:p w14:paraId="6763CEFC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1.2.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Положення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розроблено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основі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Конституції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Конвенції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ООН «Про права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дитини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»,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Законів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«Про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», «Про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запобігання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корупції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», «Про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авторські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суміжні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права»,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Цивільного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кодексу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Статуту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школи</w:t>
      </w:r>
      <w:proofErr w:type="spellEnd"/>
      <w:proofErr w:type="gram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Правил</w:t>
      </w:r>
      <w:proofErr w:type="gram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внутрішнього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розпорядку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інших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нормативно-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правових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чинного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законодавства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7B089759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1.3. Метою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даного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Положення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є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високих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професійних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стандартів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сфері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забезпечення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сприятливого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морально-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психологічного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клімату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колективі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підвищення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довіри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результатів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також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зростання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авторитету  закладу</w:t>
      </w:r>
      <w:proofErr w:type="gram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13A33090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1.4.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Положення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поширюється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всіх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учасників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педагогічних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працівників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здобувачів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їх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батьків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осіб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їх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заміняють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співробітників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школи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768AC845" w14:textId="77777777" w:rsidR="00203632" w:rsidRPr="00AE22EA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4"/>
          <w:szCs w:val="24"/>
          <w:lang w:val="uk-UA" w:eastAsia="ru-RU"/>
        </w:rPr>
      </w:pPr>
      <w:r w:rsidRPr="00AB03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2. ПРИНЦИПИ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 w:eastAsia="ru-RU"/>
        </w:rPr>
        <w:t xml:space="preserve">, НОРМИ ЕТИКИ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 w:eastAsia="ru-RU"/>
        </w:rPr>
        <w:t xml:space="preserve">ТА </w:t>
      </w:r>
      <w:r w:rsidRPr="00AB03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 xml:space="preserve"> АКАДЕМІЧНОЇ</w:t>
      </w:r>
      <w:proofErr w:type="gramEnd"/>
      <w:r w:rsidRPr="00AB03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 xml:space="preserve"> ДОБРОЧЕСНОСТІ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 w:eastAsia="ru-RU"/>
        </w:rPr>
        <w:t xml:space="preserve"> ЗАКЛАДУ ОСВІТИ</w:t>
      </w:r>
    </w:p>
    <w:p w14:paraId="4531F59A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2.1. </w:t>
      </w:r>
      <w:proofErr w:type="spellStart"/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Академічна</w:t>
      </w:r>
      <w:proofErr w:type="spellEnd"/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доброчесність-</w:t>
      </w: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це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сукупність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етичних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принципів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визначених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законом правил,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якими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керуватися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учасники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під час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метою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забезпечення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довіри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результатів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попередження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28A7FC93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2.2.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згідно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ст.42 п.4 Закону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«Про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вважається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</w:t>
      </w:r>
    </w:p>
    <w:p w14:paraId="4F914EE5" w14:textId="77777777" w:rsidR="00203632" w:rsidRPr="00AB039F" w:rsidRDefault="00203632" w:rsidP="00203632">
      <w:pPr>
        <w:numPr>
          <w:ilvl w:val="0"/>
          <w:numId w:val="1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Академічний</w:t>
      </w:r>
      <w:proofErr w:type="spellEnd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плагіат</w:t>
      </w:r>
      <w:proofErr w:type="spellEnd"/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–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оприлюднення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частково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повністю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наукових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творчих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результатів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отриманих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іншими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особами, як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результатів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власного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дослідження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творчості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) та/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відтворення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опублікованих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текстів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оприлюднених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творів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мистецтва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інших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авторів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без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зазначення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авторства.</w:t>
      </w:r>
    </w:p>
    <w:p w14:paraId="148C8993" w14:textId="77777777" w:rsidR="00203632" w:rsidRPr="00AB039F" w:rsidRDefault="00203632" w:rsidP="00203632">
      <w:pPr>
        <w:numPr>
          <w:ilvl w:val="0"/>
          <w:numId w:val="1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Самоплагіат</w:t>
      </w:r>
      <w:proofErr w:type="spellEnd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 </w:t>
      </w:r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оприлюднення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частково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повністю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власних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раніше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опублікованих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наукових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результатів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як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нових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6E8692D5" w14:textId="77777777" w:rsidR="00203632" w:rsidRPr="00AB039F" w:rsidRDefault="00203632" w:rsidP="00203632">
      <w:pPr>
        <w:numPr>
          <w:ilvl w:val="0"/>
          <w:numId w:val="1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Фабрикація</w:t>
      </w:r>
      <w:proofErr w:type="spellEnd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 </w:t>
      </w:r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вигадування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даних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фактів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використовуються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освітньому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наукових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дослідженнях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3BBBEBB1" w14:textId="77777777" w:rsidR="00203632" w:rsidRPr="00AB039F" w:rsidRDefault="00203632" w:rsidP="00203632">
      <w:pPr>
        <w:numPr>
          <w:ilvl w:val="0"/>
          <w:numId w:val="1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Фальсифікація</w:t>
      </w:r>
      <w:proofErr w:type="spellEnd"/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 –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свідома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зміна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модифікація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вже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наявних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даних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стосуються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наукових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досліджень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334DB7F3" w14:textId="77777777" w:rsidR="00203632" w:rsidRPr="00AB039F" w:rsidRDefault="00203632" w:rsidP="00203632">
      <w:pPr>
        <w:numPr>
          <w:ilvl w:val="0"/>
          <w:numId w:val="1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Списування</w:t>
      </w:r>
      <w:proofErr w:type="spellEnd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 </w:t>
      </w:r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виконання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письмових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робіт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залученням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зовнішніх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джерел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інформації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(шпаргалки,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мікронавушники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телефони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планшети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тощо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крім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дозволених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використання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зокрема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під час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оцінювання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результатів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також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повторне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використання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раніше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виконаної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іншою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особою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письмової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роботи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лабораторної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контрольної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самостійної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індивідуальної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тощо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).</w:t>
      </w:r>
    </w:p>
    <w:p w14:paraId="4796A62A" w14:textId="77777777" w:rsidR="00203632" w:rsidRPr="00AB039F" w:rsidRDefault="00203632" w:rsidP="00203632">
      <w:pPr>
        <w:numPr>
          <w:ilvl w:val="0"/>
          <w:numId w:val="1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lastRenderedPageBreak/>
        <w:t>Обман </w:t>
      </w:r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надання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завідомо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неправдивої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інформації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щодо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власної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наукової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творчої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організації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; формами обману є,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зокрема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академічний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плагіат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самоплагіат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фабрикація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фальсифікація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списування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79717EA2" w14:textId="77777777" w:rsidR="00203632" w:rsidRPr="00AB039F" w:rsidRDefault="00203632" w:rsidP="00203632">
      <w:pPr>
        <w:numPr>
          <w:ilvl w:val="0"/>
          <w:numId w:val="1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Хабарництво</w:t>
      </w:r>
      <w:proofErr w:type="spellEnd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 </w:t>
      </w:r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надання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учасником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пропозиція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щодо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надання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коштів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майна,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послуг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пільг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будь-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інших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благ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матеріального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нематеріального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характеру з метою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неправомірної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переваги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освітньому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121403D7" w14:textId="77777777" w:rsidR="00203632" w:rsidRPr="00AB039F" w:rsidRDefault="00203632" w:rsidP="00203632">
      <w:pPr>
        <w:numPr>
          <w:ilvl w:val="0"/>
          <w:numId w:val="1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Зловживання</w:t>
      </w:r>
      <w:proofErr w:type="spellEnd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впливом</w:t>
      </w:r>
      <w:proofErr w:type="spellEnd"/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 –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пропозиція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обіцянка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надання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неправомірної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вигоди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особі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яка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пропонує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обіцяє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погоджується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 за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таку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вигоду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надання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такої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вигоди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третій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особі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вплинути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прийняття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рішення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особою,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уповноваженою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виконання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функцій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держави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24E413AB" w14:textId="77777777" w:rsidR="00203632" w:rsidRPr="00AB039F" w:rsidRDefault="00203632" w:rsidP="00203632">
      <w:pPr>
        <w:numPr>
          <w:ilvl w:val="0"/>
          <w:numId w:val="1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Необ’єктивне</w:t>
      </w:r>
      <w:proofErr w:type="spellEnd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122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оцінювання</w:t>
      </w:r>
      <w:proofErr w:type="spellEnd"/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 –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свідоме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завищення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заниження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оцінки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результатів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здобувачів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5CD34250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2.3.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доброчесність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впроваджується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через систему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принципів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законності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професіоналізму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чесності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взаємоповаги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ввічливості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справедливості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відповідальності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прозорості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толерантності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2FA3E3EF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 xml:space="preserve">Всі учасники освітнього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прцесу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наділен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і</w:t>
      </w: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правом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вільно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обирати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свою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громадянську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позицію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яка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проголошується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відкрито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при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обговоренні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рішень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внутрішніх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документів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3D6C1EBE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2.5.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Офіційне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висвітлення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закладу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напрямів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його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розвитку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може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здійснювати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 xml:space="preserve">закладу </w:t>
      </w: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proofErr w:type="gram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особа за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його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дорученням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77E42D78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2.6. 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разі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відбулося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розповсюдження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інформації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яка є неправдивою, особа, яка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цього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причетна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має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зробити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все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можливе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щоб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спростувати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викривлену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інформацію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зменшити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обсяг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завданої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шкоди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07B15B9E" w14:textId="77777777" w:rsidR="00203632" w:rsidRPr="00AB039F" w:rsidRDefault="00203632" w:rsidP="00203632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AB03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3.ЗАБЕЗПЕЧЕННЯ АКАДЕМІЧНОЇ ДОБРОЧЕСНОСТІ УЧАСНИКАМИ ОСВІТНЬОГО ПРОЦЕСУ</w:t>
      </w:r>
    </w:p>
    <w:p w14:paraId="3A147C2A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доброчесність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забезпечується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</w:t>
      </w:r>
    </w:p>
    <w:p w14:paraId="3EEC20D6" w14:textId="77777777" w:rsidR="00203632" w:rsidRPr="007430CA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3.1.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Усіма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співробітниками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учасниками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val="uk-UA" w:eastAsia="ru-RU"/>
        </w:rPr>
        <w:t>закладу освіти</w:t>
      </w:r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шляхом:</w:t>
      </w:r>
    </w:p>
    <w:p w14:paraId="03B499D2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3.1.1.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Уникнення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провокування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пов’язаних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корупційними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правопорушеннями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427DCC3B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3.1.2.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норм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Конституції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6F10BD16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3.1.3.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Статуту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закладу освіти</w:t>
      </w: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Правил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внутрішнього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розпорядку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7032E409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3.1.4.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норм чинного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законодавства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сфері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загальної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середньої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6B630E99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3.1.5.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Збереження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поліпшення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раціонального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використання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навчально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матеріальної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бази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закладу.</w:t>
      </w:r>
    </w:p>
    <w:p w14:paraId="523401FC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3.1.6.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Культури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зовнішнього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вигляду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співробітників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учасників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303D0ADF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3.1.7.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правил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високих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стандартів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ділової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етики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веденні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переговорів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у тому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числі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телефонних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вестися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спокійному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ввічливому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доброзичливому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тоні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сприяє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створенню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позитивної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репутації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закладу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загалом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30D6DD30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3.1.8.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Надання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достовірної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інформації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3DF03B8D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3.1.9.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Негайного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повідомлення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адміністрації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закладу 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разі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виконання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рішень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доручень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є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незаконними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такими,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становлять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загрозу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правам, свободам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інтересам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окремих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громадян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юридичних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осіб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державним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суспільним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інтересам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44296424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3.1.</w:t>
      </w:r>
      <w:proofErr w:type="gram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10.Відповідальності</w:t>
      </w:r>
      <w:proofErr w:type="gram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02F3A3B5" w14:textId="77777777" w:rsidR="00203632" w:rsidRPr="007430CA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3.2.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Педагогічними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працівниками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шляхом:</w:t>
      </w:r>
    </w:p>
    <w:p w14:paraId="57DBF613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норм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законодавства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авторське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право;</w:t>
      </w:r>
    </w:p>
    <w:p w14:paraId="2C7C0DE6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повагу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осіб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здобувають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їхніх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батьків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осіб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замінюють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незалежно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віку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стану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здоров’я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громадянства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національності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ставлення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релігії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кольору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шкіри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місця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проживання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мови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спілкування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походження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соціального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майнового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стану, 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також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інших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обставин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E2DF69D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об’єктивно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неупереджено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оцінювати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вміння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здобувачів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45AB882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якісно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вчасно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результативно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виконувати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функціональні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обов’язки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765140B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впроваджувати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свою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діяльність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інноваційні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навчання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BBEA20C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відповідно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вимог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законодавства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підвищувати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кваліфікацію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B5B54BD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посилання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джерела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інформації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використання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відомостей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написання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матеріалів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наукових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робіт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9CEC134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розголошувати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конфіденційну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інформацію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інформацію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обмеженим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доступом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інші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інформації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відповідно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вимог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законодавства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сфері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інформації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звернення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громадян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BD6F37C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надання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достовірної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інформації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;</w:t>
      </w:r>
    </w:p>
    <w:p w14:paraId="50479ECF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контроль за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дотриманням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академічної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доброчесності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здобувачами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proofErr w:type="gram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6A43EF8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уникати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приватного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інтересу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конфлікту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інтересів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6108CC8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нести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відповідальність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порушення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академічної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доброчесності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3F5A296" w14:textId="77777777" w:rsidR="00203632" w:rsidRPr="00AB039F" w:rsidRDefault="00203632" w:rsidP="00203632">
      <w:pPr>
        <w:numPr>
          <w:ilvl w:val="0"/>
          <w:numId w:val="2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негайно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повідомляти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адміністрацію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закладу 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виконання</w:t>
      </w:r>
      <w:proofErr w:type="spellEnd"/>
      <w:proofErr w:type="gram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рішень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доручень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є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незаконними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такими,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становлять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загрозу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правам, свободам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інтересам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окремих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громадян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юридичних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осіб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державним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суспільним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інтересам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AB03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16B0460" w14:textId="77777777" w:rsidR="00203632" w:rsidRPr="007430CA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3.3.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Здобувачами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шляхом:</w:t>
      </w:r>
    </w:p>
    <w:p w14:paraId="01938CFA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1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3</w:t>
      </w: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.3.1.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Поваги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педагогічних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працівників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14940BD8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3.3.2.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Поваги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честі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гідності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інших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осіб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навіть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їх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погляди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відрізняються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власних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переконань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0E972537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3.3.3.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Присутності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всіх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навчальних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заняттях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окрім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випадків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викликаних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поважними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причинами.</w:t>
      </w:r>
    </w:p>
    <w:p w14:paraId="577B5B99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3.3.4.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Самостійного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виконання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навчальних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завдань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завдань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поточного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підсумкового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контролю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результатів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3275F003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3.3.5.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Подання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оцінювання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лише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самостійно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виконаної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роботи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не є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запозиченою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переробленою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іншої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виконаної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третіми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особами.</w:t>
      </w:r>
    </w:p>
    <w:p w14:paraId="718562C7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3.3.6.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Використанням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навчальній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дослідницькій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лише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перевірених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достовірних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джерел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інформації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грамотного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посилання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них.</w:t>
      </w:r>
    </w:p>
    <w:p w14:paraId="252B5545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3.3.7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Неприпустимості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пропонування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хабаря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отримання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будь-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переваг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навчальній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дослідницькій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у тому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числі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метою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зміни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отриманої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оцінки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0A72FDFA" w14:textId="77777777" w:rsidR="00203632" w:rsidRPr="007430CA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3.4. Батьками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здобувачів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особами,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які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їх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заміняють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,  шляхом</w:t>
      </w:r>
      <w:proofErr w:type="gram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:</w:t>
      </w:r>
    </w:p>
    <w:p w14:paraId="7886255A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3.4.1. 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Виховання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дітей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поваги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гідності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прав, свобод і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законних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інтересів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однокласників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учнів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інших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класів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вчителів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інших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людей.</w:t>
      </w:r>
    </w:p>
    <w:p w14:paraId="4D53DD1D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3.4.2.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Виховання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відповідального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ставлення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власного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фізичного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психічного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здоров’я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здоров’я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оточуючих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довкілля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формування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навичок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здорового способу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життя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25567F46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3.4.3.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Формування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дитини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культури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життя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взаєморозумінні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мирі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злагоді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також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таких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загальнолюдських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цінностей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як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справедливість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патріотизм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гуманізм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толерантність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працелюбство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025D5CD3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3.4.4.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Виховання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поваги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державної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мови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державних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символів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усвідомлення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необхідності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дотримуватися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Конституції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законів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Статуту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школи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правил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внутрішнього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розпорядку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52BECD90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3.4.5.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Сприяння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виконанню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дитиною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програми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досягнення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дитиною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передбачених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нею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результатів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самостійного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виконання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нею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навчальних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завдань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завдань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поточного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підсумкового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контролю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результатів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7CE0EF05" w14:textId="77777777" w:rsidR="00203632" w:rsidRPr="007430CA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3.5.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Неприйнятним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всіх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учасників</w:t>
      </w:r>
      <w:proofErr w:type="spell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val="uk-UA" w:eastAsia="ru-RU"/>
        </w:rPr>
        <w:t xml:space="preserve">освітнього </w:t>
      </w:r>
      <w:proofErr w:type="gramStart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val="uk-UA" w:eastAsia="ru-RU"/>
        </w:rPr>
        <w:t xml:space="preserve">процесу </w:t>
      </w:r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є</w:t>
      </w:r>
      <w:proofErr w:type="gramEnd"/>
      <w:r w:rsidRPr="00743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:</w:t>
      </w:r>
    </w:p>
    <w:p w14:paraId="5C3E7E43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3.5.1.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Навмисне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перешкоджання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навчальній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трудовій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членів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спільноти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647EBC76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3.5.2. Участь у будь-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пов’язана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обманом,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нечесністю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підробка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використання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документів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6D10D8D3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3.5.3.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Перевищення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повноважень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передбачені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посадовими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інструкціями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контрактами.</w:t>
      </w:r>
    </w:p>
    <w:p w14:paraId="3A5B0E50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3.5.4.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Використання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мобільних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телефонів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під час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навчальних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занять,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нарад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офіційних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заходів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5240F00C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3.5.5.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Вживання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наркотичних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речовин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алкогольних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напоїв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паління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 тому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числі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електронних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сигарет,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поява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стані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алкогольного,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наркотичного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токсичного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сп’яніння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2045E629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3.5.6.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Пронесення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зброї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використання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газових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балончиків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інших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речей,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можуть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зашкодити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здоров’ю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життю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людини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349B78A7" w14:textId="77777777" w:rsidR="00203632" w:rsidRPr="00936EE4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936E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4. ЗАХОДИ З ПОПЕРЕДЖЕННЯ, ВИЯВЛЕННЯ ТА ВСТАНОВЛЕННЯ ФАКТІВ ПОРУШЕННЯ АКАДЕМІЧНОЇ ДОБРОЧЕСНОСТІ</w:t>
      </w:r>
    </w:p>
    <w:p w14:paraId="4B707CA1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4.1. При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прийомі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 роботу</w:t>
      </w:r>
      <w:proofErr w:type="gram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працівник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знайомиться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даним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Положенням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після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ознайомлення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Правилами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внутрішнього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розпорядку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школи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3569FDC9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4.2.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Положення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доводиться до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батьківської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громади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здобувачів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педагогічних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працівників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також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оприлюднюється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сайті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закладу.</w:t>
      </w:r>
    </w:p>
    <w:p w14:paraId="3E39E4EE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4.3. Заступник директора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 xml:space="preserve"> закладу</w:t>
      </w: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</w:t>
      </w:r>
    </w:p>
    <w:p w14:paraId="4E10614A" w14:textId="77777777" w:rsidR="00203632" w:rsidRPr="00AB039F" w:rsidRDefault="00203632" w:rsidP="00203632">
      <w:pPr>
        <w:numPr>
          <w:ilvl w:val="0"/>
          <w:numId w:val="3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Забезпечує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шляхом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практикумів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консультацій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інших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колективних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індивідуальних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форм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педагогічними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працівниками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щодо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створення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оформлення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ними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методичних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розробок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публікацій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конкурси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різного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рівня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метою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попередження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;</w:t>
      </w: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рекомендує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вчителям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сервіси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безкоштовної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перевірки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робіт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антиплагіат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65714420" w14:textId="77777777" w:rsidR="00203632" w:rsidRPr="00AB039F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4.4.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Педагогічні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працівники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своєї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дотримуються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етики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умов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даного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Положення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проводять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роз’яснювальну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роботу з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учнями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щодо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норм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етичної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поведінки та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неприпустимості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плагіат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правил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оформлення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цитування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посилання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джерела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інформації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списування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тощо</w:t>
      </w:r>
      <w:proofErr w:type="spellEnd"/>
      <w:r w:rsidRPr="00AB03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).</w:t>
      </w:r>
    </w:p>
    <w:p w14:paraId="454F5D36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F941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5.  ВІДПОВІДАЛЬНІСТЬ ЗА ПОРУШЕННЯ АКАДЕМІЧНОЇ ДОБРОЧЕСНОСТІ</w:t>
      </w:r>
    </w:p>
    <w:p w14:paraId="10B7B570" w14:textId="77777777" w:rsidR="00203632" w:rsidRPr="00936EE4" w:rsidRDefault="00203632" w:rsidP="00203632">
      <w:pPr>
        <w:shd w:val="clear" w:color="auto" w:fill="FFFFFF"/>
        <w:spacing w:before="225" w:after="150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</w:pP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Порушеннями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академічної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доброчесності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є:</w:t>
      </w:r>
    </w:p>
    <w:p w14:paraId="72B854D6" w14:textId="77777777" w:rsidR="00203632" w:rsidRPr="00F94169" w:rsidRDefault="00203632" w:rsidP="00203632">
      <w:pPr>
        <w:numPr>
          <w:ilvl w:val="0"/>
          <w:numId w:val="4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надання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педагогічними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працівниками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іншими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особами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допомоги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учням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під час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проходження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ними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підсумкового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оцінювання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(семестрового 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річного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), ДПА, ЗНО, не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передбаченої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умовами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та/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або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процедурами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їх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проходження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14:paraId="249B9D11" w14:textId="77777777" w:rsidR="00203632" w:rsidRPr="00F94169" w:rsidRDefault="00203632" w:rsidP="00203632">
      <w:pPr>
        <w:numPr>
          <w:ilvl w:val="0"/>
          <w:numId w:val="4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використання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учнем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під час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контрольних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заходів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непередбачених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допоміжних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матеріалів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та/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або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технічних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засобів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14:paraId="00E54A74" w14:textId="77777777" w:rsidR="00203632" w:rsidRPr="00F94169" w:rsidRDefault="00203632" w:rsidP="00203632">
      <w:pPr>
        <w:numPr>
          <w:ilvl w:val="0"/>
          <w:numId w:val="4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проходження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процедури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оцінювання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результатів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навчання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замість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інших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осіб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14:paraId="7765FD3C" w14:textId="77777777" w:rsidR="00203632" w:rsidRPr="00F94169" w:rsidRDefault="00203632" w:rsidP="00203632">
      <w:pPr>
        <w:numPr>
          <w:ilvl w:val="0"/>
          <w:numId w:val="4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необ'єктивне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оцінювання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компетентностей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педагогічних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працівників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під час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атестації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чи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сертифікації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1EB0D060" w14:textId="77777777" w:rsidR="00203632" w:rsidRPr="00936EE4" w:rsidRDefault="00203632" w:rsidP="00203632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</w:pPr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За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порушення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академічної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доброчесності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педагогічні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працівники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закладу:</w:t>
      </w:r>
    </w:p>
    <w:p w14:paraId="0036AF59" w14:textId="77777777" w:rsidR="00203632" w:rsidRPr="00F94169" w:rsidRDefault="00203632" w:rsidP="00203632">
      <w:pPr>
        <w:numPr>
          <w:ilvl w:val="0"/>
          <w:numId w:val="5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можуть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бути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залучені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процедур 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забезпечення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підвищення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учнівських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олімпіад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інших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змагань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CF18CD9" w14:textId="77777777" w:rsidR="00203632" w:rsidRPr="00F94169" w:rsidRDefault="00203632" w:rsidP="00203632">
      <w:pPr>
        <w:numPr>
          <w:ilvl w:val="0"/>
          <w:numId w:val="5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можуть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бути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допущені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позачергової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атестації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має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підвищення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кваліфікаційної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категорії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встановлення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педагогічного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9B53E6B" w14:textId="77777777" w:rsidR="00203632" w:rsidRPr="00F94169" w:rsidRDefault="00203632" w:rsidP="00203632">
      <w:pPr>
        <w:numPr>
          <w:ilvl w:val="0"/>
          <w:numId w:val="5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можуть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отримувати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будь-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заохочення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премії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інші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заохочувальні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виплати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нагороди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тощо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протягом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одного року;</w:t>
      </w:r>
    </w:p>
    <w:p w14:paraId="69287213" w14:textId="77777777" w:rsidR="00203632" w:rsidRPr="00F94169" w:rsidRDefault="00203632" w:rsidP="00203632">
      <w:pPr>
        <w:numPr>
          <w:ilvl w:val="0"/>
          <w:numId w:val="5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можуть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бути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позбавлені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педагогічного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FAD2F9F" w14:textId="77777777" w:rsidR="00203632" w:rsidRPr="00936EE4" w:rsidRDefault="00203632" w:rsidP="00203632">
      <w:pPr>
        <w:shd w:val="clear" w:color="auto" w:fill="FFFFFF"/>
        <w:spacing w:before="225" w:after="150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</w:pPr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За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порушення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академічної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доброчесності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до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учня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може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бути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застосовано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такі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види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академічної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відповідальності</w:t>
      </w:r>
      <w:proofErr w:type="spellEnd"/>
      <w:r w:rsidRPr="00936EE4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:</w:t>
      </w:r>
    </w:p>
    <w:p w14:paraId="4208D61B" w14:textId="77777777" w:rsidR="00203632" w:rsidRPr="00F94169" w:rsidRDefault="00203632" w:rsidP="00203632">
      <w:pPr>
        <w:numPr>
          <w:ilvl w:val="0"/>
          <w:numId w:val="6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зауваження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14:paraId="680AA080" w14:textId="77777777" w:rsidR="00203632" w:rsidRPr="00F94169" w:rsidRDefault="00203632" w:rsidP="00203632">
      <w:pPr>
        <w:numPr>
          <w:ilvl w:val="0"/>
          <w:numId w:val="6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proofErr w:type="gram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повторне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проходження</w:t>
      </w:r>
      <w:proofErr w:type="spellEnd"/>
      <w:proofErr w:type="gram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підсумкового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оцінювання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14:paraId="7ABC2E68" w14:textId="77777777" w:rsidR="00203632" w:rsidRPr="00F94169" w:rsidRDefault="00203632" w:rsidP="00203632">
      <w:pPr>
        <w:numPr>
          <w:ilvl w:val="0"/>
          <w:numId w:val="6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proofErr w:type="gram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повторне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проходження</w:t>
      </w:r>
      <w:proofErr w:type="spellEnd"/>
      <w:proofErr w:type="gram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державної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підсумкової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атестації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14:paraId="204D38CE" w14:textId="77777777" w:rsidR="00203632" w:rsidRPr="00F94169" w:rsidRDefault="00203632" w:rsidP="00203632">
      <w:pPr>
        <w:numPr>
          <w:ilvl w:val="0"/>
          <w:numId w:val="6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повторне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проходження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відповідного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освітнього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компонента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освітньої</w:t>
      </w:r>
      <w:proofErr w:type="spellEnd"/>
      <w:r w:rsidRPr="00F94169">
        <w:rPr>
          <w:rFonts w:ascii="Arial" w:eastAsia="Times New Roman" w:hAnsi="Arial" w:cs="Arial"/>
          <w:color w:val="111111"/>
          <w:sz w:val="24"/>
          <w:szCs w:val="24"/>
          <w:lang w:val="uk-UA"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програми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14:paraId="4D88F567" w14:textId="77777777" w:rsidR="00203632" w:rsidRPr="00F94169" w:rsidRDefault="00203632" w:rsidP="00203632">
      <w:pPr>
        <w:numPr>
          <w:ilvl w:val="0"/>
          <w:numId w:val="7"/>
        </w:numPr>
        <w:shd w:val="clear" w:color="auto" w:fill="FFFFFF"/>
        <w:spacing w:before="225" w:after="150" w:line="240" w:lineRule="auto"/>
        <w:ind w:left="450"/>
        <w:jc w:val="both"/>
        <w:outlineLvl w:val="2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позбавлення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отриманих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з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порушеннями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доброчесності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призових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місць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учнівських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змаганнях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турнірах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олімпіадах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конкурсах.</w:t>
      </w:r>
    </w:p>
    <w:p w14:paraId="1A3B3D99" w14:textId="77777777" w:rsidR="00203632" w:rsidRPr="00F94169" w:rsidRDefault="00203632" w:rsidP="00203632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встановлення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факту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педагогічним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працівником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визначення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виду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відповідальності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приймає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педагогічна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рада за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участю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працівника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та/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його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законного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представника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6DB6CD81" w14:textId="77777777" w:rsidR="00203632" w:rsidRPr="00F94169" w:rsidRDefault="00203632" w:rsidP="00203632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академічну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відповідальність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учнів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приймає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педагогічний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працівник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який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виявив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педагогічна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рада </w:t>
      </w:r>
      <w:proofErr w:type="gram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закладу 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відповідно</w:t>
      </w:r>
      <w:proofErr w:type="spellEnd"/>
      <w:proofErr w:type="gram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Положення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внутрішню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систему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забезпечення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18F6AD2D" w14:textId="77777777" w:rsidR="00203632" w:rsidRPr="00F94169" w:rsidRDefault="00203632" w:rsidP="00203632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позбавлення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призових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місць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учнівських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змаганнях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турнірах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олімпіадах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конкурсах,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отриманих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порушеннями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приймає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орган (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посадова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особа),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який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їх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надав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присвоїв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 </w:t>
      </w:r>
      <w:proofErr w:type="gram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 порядку</w:t>
      </w:r>
      <w:proofErr w:type="gram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визначеному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законодавством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4A5E4C9F" w14:textId="77777777" w:rsidR="00203632" w:rsidRPr="00F94169" w:rsidRDefault="00203632" w:rsidP="00203632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Види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відповідальності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можуть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бути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застосовані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учнів 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педагогічних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працівників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повинні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бути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співмірними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вчиненими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порушеннями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За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одне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може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бути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застосовано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лише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один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видів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відповідальності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1EAE4F39" w14:textId="77777777" w:rsidR="00203632" w:rsidRPr="00F94169" w:rsidRDefault="00203632" w:rsidP="00203632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притягнення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відповідальності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може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бути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оскаржене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 порядку</w:t>
      </w:r>
      <w:proofErr w:type="gram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визначеному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положенням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внутрішню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систему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забезпечення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закладу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202200EC" w14:textId="77777777" w:rsidR="00203632" w:rsidRPr="00F94169" w:rsidRDefault="00203632" w:rsidP="00203632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F941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6. КОМІСІЯ З ПИТАНЬ АКАДЕМІЧНОЇ ДОБРОЧЕСНОСТІ</w:t>
      </w:r>
    </w:p>
    <w:p w14:paraId="538A0E96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6.1.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питань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далі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 –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це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незалежний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орган,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діє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закладі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метою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забезпечення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моніторингу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дотримання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членами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шкільної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спільноти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морально-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етичних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правових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норм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цього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Положення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725E7AD0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6.2. </w:t>
      </w:r>
      <w:proofErr w:type="gram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 складу</w:t>
      </w:r>
      <w:proofErr w:type="gram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входять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представники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Ради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школи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учнівського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самоврядування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педагогічного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колективу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2D9A741A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Склад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затверджується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рішенням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ради.</w:t>
      </w:r>
    </w:p>
    <w:p w14:paraId="1964CAB6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Голова, заступник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голови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секретар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обираються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числа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осіб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входять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4AC1639C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Голова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веде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засідання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підписує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протоколи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тощо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78173A0D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За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відсутності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голови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його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обов’язки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виконує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заступник.</w:t>
      </w:r>
    </w:p>
    <w:p w14:paraId="2E1AF185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Секретар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здійснює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повноваження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щодо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ведення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протоколу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засідання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технічної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підготовки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матеріалів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розгляду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їх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засіданні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тощо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5AB04B43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Термін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повноважень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– 1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рік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38444246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6.3.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має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такі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повноваження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</w:t>
      </w:r>
    </w:p>
    <w:p w14:paraId="2DAF57B7" w14:textId="77777777" w:rsidR="00203632" w:rsidRPr="00F94169" w:rsidRDefault="00203632" w:rsidP="00203632">
      <w:pPr>
        <w:numPr>
          <w:ilvl w:val="0"/>
          <w:numId w:val="8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Виявляти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встановлювати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факти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учасників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закладу.</w:t>
      </w:r>
    </w:p>
    <w:p w14:paraId="3AC4CA9E" w14:textId="77777777" w:rsidR="00203632" w:rsidRPr="00F94169" w:rsidRDefault="00203632" w:rsidP="00203632">
      <w:pPr>
        <w:numPr>
          <w:ilvl w:val="0"/>
          <w:numId w:val="8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Проводити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інформаційну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роботу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щодо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популяризації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принципів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серед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учасників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2A9DDFA6" w14:textId="77777777" w:rsidR="00203632" w:rsidRPr="00F94169" w:rsidRDefault="00203632" w:rsidP="00203632">
      <w:pPr>
        <w:numPr>
          <w:ilvl w:val="0"/>
          <w:numId w:val="8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Готувати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пропозиції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надавати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рекомендації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proofErr w:type="gram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консультації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щодо</w:t>
      </w:r>
      <w:proofErr w:type="spellEnd"/>
      <w:proofErr w:type="gram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підвищення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ефективності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впровадження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принципів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освітню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діяльність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школи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0599AB64" w14:textId="77777777" w:rsidR="00203632" w:rsidRPr="00F94169" w:rsidRDefault="00203632" w:rsidP="00203632">
      <w:pPr>
        <w:numPr>
          <w:ilvl w:val="0"/>
          <w:numId w:val="8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Отримувати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розглядати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заяви за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умови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якщо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вони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носять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анонімний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характер,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щодо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учасників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закладу.</w:t>
      </w:r>
    </w:p>
    <w:p w14:paraId="7350C4C3" w14:textId="77777777" w:rsidR="00203632" w:rsidRPr="00F94169" w:rsidRDefault="00203632" w:rsidP="00203632">
      <w:pPr>
        <w:numPr>
          <w:ilvl w:val="0"/>
          <w:numId w:val="8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Залучати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своєї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роботи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експертів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відповідних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галузей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також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використовувати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технічні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програмні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засоби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встановлення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фактів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норм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поданою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заявою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7C9957D6" w14:textId="77777777" w:rsidR="00203632" w:rsidRPr="00F94169" w:rsidRDefault="00203632" w:rsidP="00203632">
      <w:pPr>
        <w:numPr>
          <w:ilvl w:val="0"/>
          <w:numId w:val="8"/>
        </w:numPr>
        <w:shd w:val="clear" w:color="auto" w:fill="FFFFFF"/>
        <w:spacing w:before="225" w:after="150" w:line="240" w:lineRule="auto"/>
        <w:ind w:left="450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Доводити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результати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розгляду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заяв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щодо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порушення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академічної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доброчесності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відома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керівника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закладу для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подальшого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реагування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21CB9545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6.4.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Свої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повноваження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здійснює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умови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кількість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її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членів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присутніх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засіданні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складатиме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менше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ніж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дві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третини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її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складу.</w:t>
      </w:r>
    </w:p>
    <w:p w14:paraId="1A2A3A88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6.5.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приймаються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відкритим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голосуванням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Рішення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вважається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прийнятим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якщо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нього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проголосувало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більше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половини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присутніх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засіданні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членів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У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разі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рівного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розподілу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голосів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голос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голови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є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вирішальним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61142B4D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6.6. За результатами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засідання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Комісії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складається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протокол,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який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підписує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голова (в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разі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його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відсутності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- заступник) та </w:t>
      </w:r>
      <w:proofErr w:type="spellStart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секретар</w:t>
      </w:r>
      <w:proofErr w:type="spellEnd"/>
      <w:r w:rsidRPr="00F9416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5DCE1624" w14:textId="77777777" w:rsidR="00203632" w:rsidRPr="00F94169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F941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7. ЗАКЛЮЧНІ ПОЛОЖЕННЯ</w:t>
      </w:r>
    </w:p>
    <w:p w14:paraId="463455DE" w14:textId="77777777" w:rsidR="00203632" w:rsidRPr="00936EE4" w:rsidRDefault="00203632" w:rsidP="002036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E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7.1</w:t>
      </w:r>
      <w:r w:rsidRPr="00936E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ухвалюється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педагогічною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більшістю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голосів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набирає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чинності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моменту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CF09FA" w14:textId="77777777" w:rsidR="00203632" w:rsidRPr="00936EE4" w:rsidRDefault="00203632" w:rsidP="002036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Учасники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знати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академічну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доброчесність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Незнання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нерозуміння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є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виправданням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неетичної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поведінки. </w:t>
      </w:r>
      <w:r w:rsidRPr="00936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публічний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до тексту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сайт.</w:t>
      </w:r>
    </w:p>
    <w:p w14:paraId="01BE9DFB" w14:textId="77777777" w:rsidR="00203632" w:rsidRPr="00936EE4" w:rsidRDefault="00203632" w:rsidP="002036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доповнення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внесені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поданням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</w:t>
      </w:r>
      <w:r w:rsidRPr="00936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proofErr w:type="gram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вводяться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</w:t>
      </w:r>
      <w:proofErr w:type="spellEnd"/>
      <w:r w:rsidRPr="0093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</w:t>
      </w:r>
      <w:r w:rsidRPr="00936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 закладу.</w:t>
      </w:r>
    </w:p>
    <w:p w14:paraId="08BF57B7" w14:textId="77777777" w:rsidR="00203632" w:rsidRPr="007430CA" w:rsidRDefault="00203632" w:rsidP="00203632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0C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</w:t>
      </w:r>
    </w:p>
    <w:p w14:paraId="2F94BD6F" w14:textId="77777777" w:rsidR="00203632" w:rsidRDefault="00203632" w:rsidP="00203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40D66" w14:textId="77777777" w:rsidR="00203632" w:rsidRDefault="00203632" w:rsidP="00203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2FAF3" w14:textId="77777777" w:rsidR="00203632" w:rsidRDefault="00203632" w:rsidP="00203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8204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ДЖЕРЕЛА  ІНФОРМАЦІЇ ВИКОРИСТАНІ В ПОЛОЖЕННІ</w:t>
      </w:r>
    </w:p>
    <w:p w14:paraId="27922C4C" w14:textId="77777777" w:rsidR="00203632" w:rsidRPr="0028204E" w:rsidRDefault="00203632" w:rsidP="002036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DBA285E" w14:textId="77777777" w:rsidR="00203632" w:rsidRPr="0028204E" w:rsidRDefault="00203632" w:rsidP="00203632">
      <w:pPr>
        <w:pStyle w:val="a4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Конституці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я</w:t>
      </w:r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</w:p>
    <w:p w14:paraId="59AB5FEF" w14:textId="77777777" w:rsidR="00203632" w:rsidRPr="0028204E" w:rsidRDefault="00203632" w:rsidP="00203632">
      <w:pPr>
        <w:pStyle w:val="a4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Конвенці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я</w:t>
      </w:r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ООН «Про права </w:t>
      </w: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дитини</w:t>
      </w:r>
      <w:proofErr w:type="spellEnd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»</w:t>
      </w:r>
    </w:p>
    <w:p w14:paraId="1E8C4019" w14:textId="77777777" w:rsidR="00203632" w:rsidRPr="0028204E" w:rsidRDefault="00203632" w:rsidP="00203632">
      <w:pPr>
        <w:pStyle w:val="a4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lk95321396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Закон </w:t>
      </w: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bookmarkEnd w:id="1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«Про </w:t>
      </w: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освіту</w:t>
      </w:r>
      <w:proofErr w:type="spellEnd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» </w:t>
      </w:r>
    </w:p>
    <w:p w14:paraId="0583C49F" w14:textId="77777777" w:rsidR="00203632" w:rsidRPr="0028204E" w:rsidRDefault="00203632" w:rsidP="00203632">
      <w:pPr>
        <w:pStyle w:val="a4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Закон </w:t>
      </w: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«Про </w:t>
      </w: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запобігання</w:t>
      </w:r>
      <w:proofErr w:type="spellEnd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корупції</w:t>
      </w:r>
      <w:proofErr w:type="spellEnd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» </w:t>
      </w:r>
    </w:p>
    <w:p w14:paraId="2B1AAA75" w14:textId="77777777" w:rsidR="00203632" w:rsidRPr="0028204E" w:rsidRDefault="00203632" w:rsidP="00203632">
      <w:pPr>
        <w:pStyle w:val="a4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Закон </w:t>
      </w: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«Про </w:t>
      </w: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авторські</w:t>
      </w:r>
      <w:proofErr w:type="spellEnd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суміжні</w:t>
      </w:r>
      <w:proofErr w:type="spellEnd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права» </w:t>
      </w:r>
    </w:p>
    <w:p w14:paraId="390A01CD" w14:textId="77777777" w:rsidR="00203632" w:rsidRPr="0028204E" w:rsidRDefault="00203632" w:rsidP="00203632">
      <w:pPr>
        <w:pStyle w:val="a4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Цивільн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 xml:space="preserve"> </w:t>
      </w:r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кодекс</w:t>
      </w:r>
      <w:proofErr w:type="gramEnd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</w:p>
    <w:p w14:paraId="4FF3F142" w14:textId="77777777" w:rsidR="00203632" w:rsidRPr="0028204E" w:rsidRDefault="00203632" w:rsidP="00203632">
      <w:pPr>
        <w:pStyle w:val="a4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Статут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 xml:space="preserve"> </w:t>
      </w:r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820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школи</w:t>
      </w:r>
      <w:proofErr w:type="spellEnd"/>
      <w:proofErr w:type="gramEnd"/>
    </w:p>
    <w:p w14:paraId="5C7B5E5F" w14:textId="77777777" w:rsidR="00203632" w:rsidRPr="0028204E" w:rsidRDefault="00203632" w:rsidP="00203632">
      <w:pPr>
        <w:pStyle w:val="a4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Інтернет ресурси</w:t>
      </w:r>
    </w:p>
    <w:p w14:paraId="03E043D9" w14:textId="77777777" w:rsidR="00203632" w:rsidRDefault="00203632"/>
    <w:p w14:paraId="4D978D6F" w14:textId="77777777" w:rsidR="00203632" w:rsidRDefault="00203632"/>
    <w:sectPr w:rsidR="00203632" w:rsidSect="00DA6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A306D"/>
    <w:multiLevelType w:val="multilevel"/>
    <w:tmpl w:val="2808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B1BE3"/>
    <w:multiLevelType w:val="multilevel"/>
    <w:tmpl w:val="1CA8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35180"/>
    <w:multiLevelType w:val="multilevel"/>
    <w:tmpl w:val="A178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24210"/>
    <w:multiLevelType w:val="multilevel"/>
    <w:tmpl w:val="6158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D034B"/>
    <w:multiLevelType w:val="multilevel"/>
    <w:tmpl w:val="2C4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A747A"/>
    <w:multiLevelType w:val="multilevel"/>
    <w:tmpl w:val="59B2845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56B97"/>
    <w:multiLevelType w:val="multilevel"/>
    <w:tmpl w:val="9D94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F3D15"/>
    <w:multiLevelType w:val="multilevel"/>
    <w:tmpl w:val="241A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32"/>
    <w:rsid w:val="00097D39"/>
    <w:rsid w:val="00203632"/>
    <w:rsid w:val="002B48BD"/>
    <w:rsid w:val="00580CD3"/>
    <w:rsid w:val="009F19E8"/>
    <w:rsid w:val="00A239A2"/>
    <w:rsid w:val="00AD06AE"/>
    <w:rsid w:val="00D23CDB"/>
    <w:rsid w:val="00DA6116"/>
    <w:rsid w:val="00E5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0DA2"/>
  <w15:chartTrackingRefBased/>
  <w15:docId w15:val="{23A5A9F0-A98A-4827-9610-D76339ED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3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6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36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Наталія Дашкова</cp:lastModifiedBy>
  <cp:revision>10</cp:revision>
  <cp:lastPrinted>2023-11-05T13:01:00Z</cp:lastPrinted>
  <dcterms:created xsi:type="dcterms:W3CDTF">2023-02-10T05:23:00Z</dcterms:created>
  <dcterms:modified xsi:type="dcterms:W3CDTF">2023-11-05T13:03:00Z</dcterms:modified>
</cp:coreProperties>
</file>